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便携式眼动仪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一、技术参数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1.</w:t>
      </w:r>
      <w:r>
        <w:rPr>
          <w:rFonts w:hint="eastAsia" w:ascii="仿宋_GB2312" w:hAnsi="仿宋_GB2312" w:cs="仿宋_GB2312"/>
          <w:color w:val="000000"/>
          <w:szCs w:val="32"/>
        </w:rPr>
        <w:t>眼动追踪采集器: ≤22CM*12CM*6CM</w:t>
      </w: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>;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2.</w:t>
      </w:r>
      <w:r>
        <w:rPr>
          <w:rFonts w:hint="eastAsia" w:ascii="仿宋_GB2312" w:hAnsi="仿宋_GB2312" w:cs="仿宋_GB2312"/>
          <w:color w:val="000000"/>
          <w:szCs w:val="32"/>
        </w:rPr>
        <w:t>眼动追踪采集器: ≤1kg</w:t>
      </w: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>;</w:t>
      </w:r>
    </w:p>
    <w:p>
      <w:pPr>
        <w:spacing w:line="560" w:lineRule="exact"/>
        <w:ind w:firstLine="320" w:firstLineChars="1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/>
        </w:rPr>
        <w:t>▲</w:t>
      </w:r>
      <w:r>
        <w:rPr>
          <w:rFonts w:hint="eastAsia" w:ascii="黑体" w:hAnsi="黑体" w:eastAsia="黑体" w:cs="仿宋_GB2312"/>
          <w:color w:val="000000"/>
          <w:szCs w:val="32"/>
        </w:rPr>
        <w:t>3.</w:t>
      </w:r>
      <w:r>
        <w:rPr>
          <w:rFonts w:hint="eastAsia" w:ascii="仿宋_GB2312" w:hAnsi="仿宋_GB2312" w:cs="仿宋_GB2312"/>
          <w:color w:val="000000"/>
          <w:szCs w:val="32"/>
        </w:rPr>
        <w:t>采集主机一体式设计，眼动数据采集相机与红外光源封装在一体，摄像头不外露，整套系统能够装入登机箱便携，适合于实验室外开展眼动研究</w:t>
      </w: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>;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bCs/>
          <w:color w:val="000000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Cs w:val="32"/>
        </w:rPr>
        <w:t>4.</w:t>
      </w:r>
      <w:r>
        <w:rPr>
          <w:rFonts w:hint="eastAsia" w:ascii="仿宋_GB2312" w:hAnsi="仿宋_GB2312" w:cs="仿宋_GB2312"/>
          <w:bCs/>
          <w:color w:val="000000"/>
          <w:szCs w:val="32"/>
        </w:rPr>
        <w:t>桌面式功能：</w:t>
      </w:r>
    </w:p>
    <w:p>
      <w:pPr>
        <w:spacing w:line="560" w:lineRule="exact"/>
        <w:ind w:firstLine="320" w:firstLineChars="1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/>
        </w:rPr>
        <w:t>▲</w:t>
      </w:r>
      <w:r>
        <w:rPr>
          <w:rFonts w:hint="eastAsia" w:ascii="黑体" w:hAnsi="黑体" w:eastAsia="黑体" w:cs="仿宋_GB2312"/>
          <w:color w:val="000000"/>
          <w:szCs w:val="32"/>
        </w:rPr>
        <w:t>4.1</w:t>
      </w:r>
      <w:r>
        <w:rPr>
          <w:rFonts w:hint="eastAsia" w:ascii="仿宋_GB2312" w:hAnsi="仿宋_GB2312" w:cs="仿宋_GB2312"/>
          <w:color w:val="000000"/>
          <w:szCs w:val="32"/>
        </w:rPr>
        <w:t xml:space="preserve"> 采样速率：≥1500Hz；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 xml:space="preserve">4.2 </w:t>
      </w:r>
      <w:r>
        <w:rPr>
          <w:rFonts w:hint="eastAsia" w:ascii="仿宋_GB2312" w:hAnsi="仿宋_GB2312" w:cs="仿宋_GB2312"/>
          <w:color w:val="000000"/>
          <w:szCs w:val="32"/>
        </w:rPr>
        <w:t>分辨率：≤0.02°；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4.3</w:t>
      </w:r>
      <w:r>
        <w:rPr>
          <w:rFonts w:hint="eastAsia" w:ascii="仿宋_GB2312" w:hAnsi="仿宋_GB2312" w:cs="仿宋_GB2312"/>
          <w:color w:val="000000"/>
          <w:szCs w:val="32"/>
        </w:rPr>
        <w:t xml:space="preserve"> 精度：≤0.5°；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 xml:space="preserve">4.4 </w:t>
      </w:r>
      <w:r>
        <w:rPr>
          <w:rFonts w:hint="eastAsia" w:ascii="仿宋_GB2312" w:hAnsi="仿宋_GB2312" w:cs="仿宋_GB2312"/>
          <w:color w:val="000000"/>
          <w:szCs w:val="32"/>
        </w:rPr>
        <w:t>实时追踪延时：≤4ms  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4.5</w:t>
      </w:r>
      <w:r>
        <w:rPr>
          <w:rFonts w:hint="eastAsia" w:ascii="仿宋_GB2312" w:hAnsi="仿宋_GB2312" w:cs="仿宋_GB2312"/>
          <w:color w:val="000000"/>
          <w:szCs w:val="32"/>
        </w:rPr>
        <w:t xml:space="preserve"> 追踪模式：瞳孔+角膜反射；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 xml:space="preserve">4.6 </w:t>
      </w:r>
      <w:r>
        <w:rPr>
          <w:rFonts w:hint="eastAsia" w:ascii="仿宋_GB2312" w:hAnsi="仿宋_GB2312" w:cs="仿宋_GB2312"/>
          <w:color w:val="000000"/>
          <w:szCs w:val="32"/>
        </w:rPr>
        <w:t xml:space="preserve">头动范围：≥25cm X 25cm </w:t>
      </w:r>
      <w:r>
        <w:rPr>
          <w:rFonts w:hint="eastAsia" w:ascii="仿宋_GB2312" w:hAnsi="仿宋_GB2312" w:cs="仿宋_GB2312"/>
          <w:color w:val="000000"/>
          <w:szCs w:val="32"/>
          <w:lang w:val="en-US" w:eastAsia="zh-CN"/>
        </w:rPr>
        <w:t>;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b/>
          <w:color w:val="000000"/>
          <w:szCs w:val="32"/>
        </w:rPr>
      </w:pPr>
      <w:r>
        <w:rPr>
          <w:rFonts w:hint="eastAsia" w:ascii="黑体" w:hAnsi="黑体" w:eastAsia="黑体" w:cs="仿宋_GB2312"/>
          <w:bCs/>
          <w:color w:val="000000"/>
          <w:szCs w:val="32"/>
        </w:rPr>
        <w:t>5.</w:t>
      </w:r>
      <w:r>
        <w:rPr>
          <w:rFonts w:hint="eastAsia" w:ascii="仿宋_GB2312" w:hAnsi="仿宋_GB2312" w:cs="仿宋_GB2312"/>
          <w:bCs/>
          <w:color w:val="000000"/>
          <w:szCs w:val="32"/>
        </w:rPr>
        <w:t>遥测式功能：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5.1</w:t>
      </w:r>
      <w:r>
        <w:rPr>
          <w:rFonts w:hint="eastAsia" w:ascii="仿宋_GB2312" w:hAnsi="仿宋_GB2312" w:cs="仿宋_GB2312"/>
          <w:color w:val="000000"/>
          <w:szCs w:val="32"/>
        </w:rPr>
        <w:t xml:space="preserve"> 采样速率：≥500Hz；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5.2</w:t>
      </w:r>
      <w:r>
        <w:rPr>
          <w:rFonts w:hint="eastAsia" w:ascii="仿宋_GB2312" w:hAnsi="仿宋_GB2312" w:cs="仿宋_GB2312"/>
          <w:color w:val="000000"/>
          <w:szCs w:val="32"/>
        </w:rPr>
        <w:t xml:space="preserve"> 分辨率：≤0.1°；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5.3</w:t>
      </w:r>
      <w:r>
        <w:rPr>
          <w:rFonts w:hint="eastAsia" w:ascii="仿宋_GB2312" w:hAnsi="仿宋_GB2312" w:cs="仿宋_GB2312"/>
          <w:color w:val="000000"/>
          <w:szCs w:val="32"/>
        </w:rPr>
        <w:t xml:space="preserve"> 精度：≤0.5°；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5.4</w:t>
      </w:r>
      <w:r>
        <w:rPr>
          <w:rFonts w:hint="eastAsia" w:ascii="仿宋_GB2312" w:hAnsi="仿宋_GB2312" w:cs="仿宋_GB2312"/>
          <w:color w:val="000000"/>
          <w:szCs w:val="32"/>
        </w:rPr>
        <w:t xml:space="preserve"> 实时追踪延时：≤4ms  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5.5</w:t>
      </w:r>
      <w:r>
        <w:rPr>
          <w:rFonts w:hint="eastAsia" w:ascii="仿宋_GB2312" w:hAnsi="仿宋_GB2312" w:cs="仿宋_GB2312"/>
          <w:color w:val="000000"/>
          <w:szCs w:val="32"/>
        </w:rPr>
        <w:t>追踪模式：瞳孔+角膜反射；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黑体" w:hAnsi="黑体" w:eastAsia="黑体" w:cs="仿宋_GB2312"/>
          <w:color w:val="000000"/>
          <w:szCs w:val="32"/>
        </w:rPr>
        <w:t>5.6</w:t>
      </w:r>
      <w:r>
        <w:rPr>
          <w:rFonts w:hint="eastAsia" w:ascii="仿宋_GB2312" w:hAnsi="仿宋_GB2312" w:cs="仿宋_GB2312"/>
          <w:color w:val="000000"/>
          <w:szCs w:val="32"/>
        </w:rPr>
        <w:t xml:space="preserve"> 头动范围：≥20cm X 20cm</w:t>
      </w:r>
      <w:r>
        <w:rPr>
          <w:rFonts w:hint="eastAsia" w:ascii="仿宋_GB2312" w:hAnsi="仿宋_GB2312" w:cs="仿宋_GB2312"/>
          <w:color w:val="000000"/>
          <w:szCs w:val="32"/>
          <w:lang w:eastAsia="zh-CN"/>
        </w:rPr>
        <w:t>。</w:t>
      </w:r>
      <w:bookmarkStart w:id="1" w:name="_GoBack"/>
      <w:bookmarkEnd w:id="1"/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二、采购需求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kern w:val="0"/>
          <w:szCs w:val="32"/>
        </w:rPr>
      </w:pPr>
      <w:r>
        <w:rPr>
          <w:rFonts w:hint="eastAsia" w:ascii="仿宋_GB2312" w:hAnsi="仿宋_GB2312" w:cs="仿宋_GB2312"/>
          <w:kern w:val="0"/>
          <w:szCs w:val="32"/>
        </w:rPr>
        <w:t>眼动仪通过高速采集装置采集受试者眼睛的运动轨迹等信息，跟踪人的眼睛运动轨迹来评估被试者的注意力分配、心理状态和认知水平等，并将实验数据传输到计算主机。研究人员利用数据分析软件对数据进行分析，将眼睛运动轨迹与刺激画面进行叠加后进行回放，对测试者注视区域位置、滞留时间、瞳孔运动和瞳孔直径进行分析及统计，为脑认知研究提供重要的数据支撑。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kern w:val="0"/>
          <w:szCs w:val="32"/>
        </w:rPr>
      </w:pPr>
      <w:r>
        <w:rPr>
          <w:rFonts w:hint="eastAsia" w:ascii="仿宋_GB2312" w:hAnsi="仿宋_GB2312" w:cs="仿宋_GB2312"/>
          <w:kern w:val="0"/>
          <w:szCs w:val="32"/>
        </w:rPr>
        <w:t>我校脑认知交叉学科目前缺乏相关教学及研究设备，不利于学科建设和科研的发展，另外，高采样便携式眼动仪的购置可以进一步拓宽我校本、硕、博三个层次学生的科研领域，对于培养高素质人才具有重要的作用。同时结合研究亦可更好地服务社会，提升中西医结合认知神经科学在社会服务层面上的服务层次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bCs/>
          <w:color w:val="000000"/>
          <w:szCs w:val="32"/>
        </w:rPr>
      </w:pPr>
      <w:bookmarkStart w:id="0" w:name="_Hlk53567536"/>
      <w:r>
        <w:rPr>
          <w:rFonts w:hint="eastAsia" w:ascii="黑体" w:hAnsi="黑体" w:eastAsia="黑体" w:cs="黑体"/>
          <w:bCs/>
          <w:color w:val="000000"/>
          <w:szCs w:val="32"/>
        </w:rPr>
        <w:t>三、进口产品购置理由</w:t>
      </w:r>
    </w:p>
    <w:bookmarkEnd w:id="0"/>
    <w:p>
      <w:pPr>
        <w:spacing w:line="560" w:lineRule="exact"/>
        <w:ind w:firstLine="640" w:firstLineChars="200"/>
        <w:rPr>
          <w:rFonts w:ascii="仿宋_GB2312" w:cs="仿宋_GB2312" w:hAnsiTheme="minorHAnsi"/>
          <w:kern w:val="0"/>
          <w:szCs w:val="32"/>
          <w:lang w:val="zh-CN"/>
        </w:rPr>
      </w:pPr>
      <w:r>
        <w:rPr>
          <w:rFonts w:hint="eastAsia" w:ascii="仿宋_GB2312" w:cs="仿宋_GB2312" w:hAnsiTheme="minorHAnsi"/>
          <w:kern w:val="0"/>
          <w:szCs w:val="32"/>
          <w:lang w:val="zh-CN"/>
        </w:rPr>
        <w:t>对于神经科学、脑认知方面的研究来说，精度过低的实验设备所得结果误差较大，只能得出趋势，无法根据实验数据推出结论，对于结论与假设之间的因果关系无法得到有效的论证。当前我校部分研究课题需在实验室之外采集数据，设备的便携性和对环境的要求便作为了重要参考因素。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cs="仿宋_GB2312" w:hAnsiTheme="minorHAnsi"/>
          <w:kern w:val="0"/>
          <w:szCs w:val="32"/>
          <w:lang w:val="zh-CN"/>
        </w:rPr>
        <w:t>国产眼动仪采样率最高只有</w:t>
      </w:r>
      <w:r>
        <w:rPr>
          <w:rFonts w:ascii="仿宋_GB2312" w:cs="仿宋_GB2312" w:hAnsiTheme="minorHAnsi"/>
          <w:kern w:val="0"/>
          <w:szCs w:val="32"/>
          <w:lang w:val="zh-CN"/>
        </w:rPr>
        <w:t>300HZ</w:t>
      </w:r>
      <w:r>
        <w:rPr>
          <w:rFonts w:hint="eastAsia" w:ascii="仿宋_GB2312" w:cs="仿宋_GB2312" w:hAnsiTheme="minorHAnsi"/>
          <w:kern w:val="0"/>
          <w:szCs w:val="32"/>
          <w:lang w:val="zh-CN"/>
        </w:rPr>
        <w:t>，无法满足我校相关科研需要，而进口眼动仪采样率可达</w:t>
      </w:r>
      <w:r>
        <w:rPr>
          <w:rFonts w:ascii="仿宋_GB2312" w:cs="仿宋_GB2312" w:hAnsiTheme="minorHAnsi"/>
          <w:kern w:val="0"/>
          <w:szCs w:val="32"/>
          <w:lang w:val="zh-CN"/>
        </w:rPr>
        <w:t>2000HZ</w:t>
      </w:r>
      <w:r>
        <w:rPr>
          <w:rFonts w:hint="eastAsia" w:ascii="仿宋_GB2312" w:cs="仿宋_GB2312" w:hAnsiTheme="minorHAnsi"/>
          <w:kern w:val="0"/>
          <w:szCs w:val="32"/>
          <w:lang w:val="zh-CN"/>
        </w:rPr>
        <w:t>，采样率越高对于脑认知神经科学交叉学科等科研作用越大。因研究迫切需要购买采样率较高的产品，故申请购置进口设备。</w:t>
      </w:r>
    </w:p>
    <w:sectPr>
      <w:pgSz w:w="11906" w:h="16838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